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物理与光电工程学院本科教学管理相关规定</w:t>
      </w:r>
    </w:p>
    <w:p>
      <w:pPr>
        <w:rPr>
          <w:rFonts w:ascii="黑体" w:hAnsi="黑体" w:eastAsia="黑体"/>
          <w:sz w:val="36"/>
          <w:szCs w:val="36"/>
        </w:rPr>
      </w:pPr>
    </w:p>
    <w:p>
      <w:pPr>
        <w:rPr>
          <w:rFonts w:ascii="微软雅黑" w:hAnsi="微软雅黑" w:eastAsia="微软雅黑"/>
          <w:sz w:val="28"/>
          <w:szCs w:val="28"/>
        </w:rPr>
      </w:pPr>
      <w:r>
        <w:rPr>
          <w:rFonts w:hint="eastAsia" w:ascii="黑体" w:hAnsi="黑体" w:eastAsia="黑体"/>
          <w:sz w:val="36"/>
          <w:szCs w:val="36"/>
        </w:rPr>
        <w:t xml:space="preserve">   </w:t>
      </w:r>
      <w:r>
        <w:rPr>
          <w:rFonts w:hint="eastAsia" w:ascii="微软雅黑" w:hAnsi="微软雅黑" w:eastAsia="微软雅黑"/>
          <w:sz w:val="36"/>
          <w:szCs w:val="36"/>
        </w:rPr>
        <w:t>“</w:t>
      </w:r>
      <w:r>
        <w:rPr>
          <w:rFonts w:hint="eastAsia" w:ascii="微软雅黑" w:hAnsi="微软雅黑" w:eastAsia="微软雅黑"/>
          <w:sz w:val="28"/>
          <w:szCs w:val="28"/>
        </w:rPr>
        <w:t>坚持以本为本，推进四个回归</w:t>
      </w:r>
      <w:r>
        <w:rPr>
          <w:rFonts w:hint="eastAsia" w:ascii="微软雅黑" w:hAnsi="微软雅黑" w:eastAsia="微软雅黑"/>
          <w:sz w:val="36"/>
          <w:szCs w:val="36"/>
        </w:rPr>
        <w:t>”</w:t>
      </w:r>
      <w:r>
        <w:rPr>
          <w:rFonts w:hint="eastAsia" w:ascii="微软雅黑" w:hAnsi="微软雅黑" w:eastAsia="微软雅黑"/>
          <w:sz w:val="28"/>
          <w:szCs w:val="28"/>
        </w:rPr>
        <w:t>是物理与光电工程学院教学工作开展的基本遵循。本科教学是学生培养之根、教师生存之本，本科不牢，地动山摇。为了确保我院本科教学工作正常开展以及进一步提升我院的本科教学质量，制定如下本科教学管理规定：</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rPr>
        <w:t>我院由物理</w:t>
      </w:r>
      <w:r>
        <w:rPr>
          <w:rFonts w:hint="eastAsia" w:ascii="微软雅黑" w:hAnsi="微软雅黑" w:eastAsia="微软雅黑"/>
          <w:sz w:val="28"/>
          <w:szCs w:val="28"/>
          <w:lang w:val="en-US" w:eastAsia="zh-CN"/>
        </w:rPr>
        <w:t>系</w:t>
      </w:r>
      <w:r>
        <w:rPr>
          <w:rFonts w:hint="eastAsia" w:ascii="微软雅黑" w:hAnsi="微软雅黑" w:eastAsia="微软雅黑"/>
          <w:sz w:val="28"/>
          <w:szCs w:val="28"/>
        </w:rPr>
        <w:t>、光学工程</w:t>
      </w:r>
      <w:r>
        <w:rPr>
          <w:rFonts w:hint="eastAsia" w:ascii="微软雅黑" w:hAnsi="微软雅黑" w:eastAsia="微软雅黑"/>
          <w:sz w:val="28"/>
          <w:szCs w:val="28"/>
          <w:lang w:val="en-US" w:eastAsia="zh-CN"/>
        </w:rPr>
        <w:t>系</w:t>
      </w:r>
      <w:r>
        <w:rPr>
          <w:rFonts w:hint="eastAsia" w:ascii="微软雅黑" w:hAnsi="微软雅黑" w:eastAsia="微软雅黑"/>
          <w:sz w:val="28"/>
          <w:szCs w:val="28"/>
        </w:rPr>
        <w:t>、仪器科学与技术</w:t>
      </w:r>
      <w:r>
        <w:rPr>
          <w:rFonts w:hint="eastAsia" w:ascii="微软雅黑" w:hAnsi="微软雅黑" w:eastAsia="微软雅黑"/>
          <w:sz w:val="28"/>
          <w:szCs w:val="28"/>
          <w:lang w:val="en-US" w:eastAsia="zh-CN"/>
        </w:rPr>
        <w:t>系、大学物理教学中心、大学物理实验中心五个教学部门</w:t>
      </w:r>
      <w:r>
        <w:rPr>
          <w:rFonts w:hint="eastAsia" w:ascii="微软雅黑" w:hAnsi="微软雅黑" w:eastAsia="微软雅黑"/>
          <w:sz w:val="28"/>
          <w:szCs w:val="28"/>
        </w:rPr>
        <w:t>组成，每个部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的教师须首先承担本学部的本科教学任务，如果需要跨部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承担本科教学任务，须经教学副院长签字同意。</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rPr>
        <w:t>各部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教师（大学物理</w:t>
      </w:r>
      <w:r>
        <w:rPr>
          <w:rFonts w:ascii="微软雅黑" w:hAnsi="微软雅黑" w:eastAsia="微软雅黑"/>
          <w:sz w:val="28"/>
          <w:szCs w:val="28"/>
        </w:rPr>
        <w:t>和大学物理</w:t>
      </w:r>
      <w:r>
        <w:rPr>
          <w:rFonts w:hint="eastAsia" w:ascii="微软雅黑" w:hAnsi="微软雅黑" w:eastAsia="微软雅黑"/>
          <w:sz w:val="28"/>
          <w:szCs w:val="28"/>
        </w:rPr>
        <w:t>实验教师自愿）必须承担本科专业课或专业基础课，若不承担，年度教学考核不合格。</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rPr>
        <w:t>各部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科研型和教学科研型教师（大学物理</w:t>
      </w:r>
      <w:r>
        <w:rPr>
          <w:rFonts w:ascii="微软雅黑" w:hAnsi="微软雅黑" w:eastAsia="微软雅黑"/>
          <w:sz w:val="28"/>
          <w:szCs w:val="28"/>
        </w:rPr>
        <w:t>和大学物理</w:t>
      </w:r>
      <w:r>
        <w:rPr>
          <w:rFonts w:hint="eastAsia" w:ascii="微软雅黑" w:hAnsi="微软雅黑" w:eastAsia="微软雅黑"/>
          <w:sz w:val="28"/>
          <w:szCs w:val="28"/>
        </w:rPr>
        <w:t>实验教师自愿）每年应指导所在部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本科专业的毕业设计，至少提供3个</w:t>
      </w:r>
      <w:r>
        <w:rPr>
          <w:rFonts w:ascii="微软雅黑" w:hAnsi="微软雅黑" w:eastAsia="微软雅黑"/>
          <w:sz w:val="28"/>
          <w:szCs w:val="28"/>
        </w:rPr>
        <w:t>题目</w:t>
      </w:r>
      <w:r>
        <w:rPr>
          <w:rFonts w:hint="eastAsia" w:ascii="微软雅黑" w:hAnsi="微软雅黑" w:eastAsia="微软雅黑"/>
          <w:sz w:val="28"/>
          <w:szCs w:val="28"/>
        </w:rPr>
        <w:t>；具备硕士</w:t>
      </w:r>
      <w:r>
        <w:rPr>
          <w:rFonts w:ascii="微软雅黑" w:hAnsi="微软雅黑" w:eastAsia="微软雅黑"/>
          <w:sz w:val="28"/>
          <w:szCs w:val="28"/>
        </w:rPr>
        <w:t>研究生招生资格</w:t>
      </w:r>
      <w:r>
        <w:rPr>
          <w:rFonts w:hint="eastAsia" w:ascii="微软雅黑" w:hAnsi="微软雅黑" w:eastAsia="微软雅黑"/>
          <w:sz w:val="28"/>
          <w:szCs w:val="28"/>
        </w:rPr>
        <w:t>的教学型教师每年应指导所在</w:t>
      </w:r>
      <w:r>
        <w:rPr>
          <w:rFonts w:hint="eastAsia" w:ascii="微软雅黑" w:hAnsi="微软雅黑" w:eastAsia="微软雅黑"/>
          <w:sz w:val="28"/>
          <w:szCs w:val="28"/>
          <w:lang w:val="en-US" w:eastAsia="zh-CN"/>
        </w:rPr>
        <w:t>学科对应的</w:t>
      </w:r>
      <w:r>
        <w:rPr>
          <w:rFonts w:hint="eastAsia" w:ascii="微软雅黑" w:hAnsi="微软雅黑" w:eastAsia="微软雅黑"/>
          <w:sz w:val="28"/>
          <w:szCs w:val="28"/>
        </w:rPr>
        <w:t>本科专业的课程设计或毕业设计，至少提供</w:t>
      </w:r>
      <w:r>
        <w:rPr>
          <w:rFonts w:ascii="微软雅黑" w:hAnsi="微软雅黑" w:eastAsia="微软雅黑"/>
          <w:sz w:val="28"/>
          <w:szCs w:val="28"/>
        </w:rPr>
        <w:t>1</w:t>
      </w:r>
      <w:r>
        <w:rPr>
          <w:rFonts w:hint="eastAsia" w:ascii="微软雅黑" w:hAnsi="微软雅黑" w:eastAsia="微软雅黑"/>
          <w:sz w:val="28"/>
          <w:szCs w:val="28"/>
        </w:rPr>
        <w:t>个</w:t>
      </w:r>
      <w:r>
        <w:rPr>
          <w:rFonts w:ascii="微软雅黑" w:hAnsi="微软雅黑" w:eastAsia="微软雅黑"/>
          <w:sz w:val="28"/>
          <w:szCs w:val="28"/>
        </w:rPr>
        <w:t>题目</w:t>
      </w:r>
      <w:r>
        <w:rPr>
          <w:rFonts w:hint="eastAsia" w:ascii="微软雅黑" w:hAnsi="微软雅黑" w:eastAsia="微软雅黑"/>
          <w:sz w:val="28"/>
          <w:szCs w:val="28"/>
        </w:rPr>
        <w:t>。若不承担，核减当年硕士研究生招生数量。每人应提供的毕业设计题目数量根据当年专业所毕业的学生人数动态调整。</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lang w:val="en-US" w:eastAsia="zh-CN"/>
        </w:rPr>
        <w:t>各</w:t>
      </w:r>
      <w:r>
        <w:rPr>
          <w:rFonts w:hint="eastAsia" w:ascii="微软雅黑" w:hAnsi="微软雅黑" w:eastAsia="微软雅黑"/>
          <w:sz w:val="28"/>
          <w:szCs w:val="28"/>
        </w:rPr>
        <w:t>系</w:t>
      </w:r>
      <w:r>
        <w:rPr>
          <w:rFonts w:hint="eastAsia" w:ascii="微软雅黑" w:hAnsi="微软雅黑" w:eastAsia="微软雅黑"/>
          <w:sz w:val="28"/>
          <w:szCs w:val="28"/>
          <w:lang w:eastAsia="zh-CN"/>
        </w:rPr>
        <w:t>（</w:t>
      </w:r>
      <w:r>
        <w:rPr>
          <w:rFonts w:hint="eastAsia" w:ascii="微软雅黑" w:hAnsi="微软雅黑" w:eastAsia="微软雅黑"/>
          <w:sz w:val="28"/>
          <w:szCs w:val="28"/>
          <w:lang w:val="en-US" w:eastAsia="zh-CN"/>
        </w:rPr>
        <w:t>或中心</w:t>
      </w:r>
      <w:r>
        <w:rPr>
          <w:rFonts w:hint="eastAsia" w:ascii="微软雅黑" w:hAnsi="微软雅黑" w:eastAsia="微软雅黑"/>
          <w:sz w:val="28"/>
          <w:szCs w:val="28"/>
          <w:lang w:eastAsia="zh-CN"/>
        </w:rPr>
        <w:t>）</w:t>
      </w:r>
      <w:r>
        <w:rPr>
          <w:rFonts w:hint="eastAsia" w:ascii="微软雅黑" w:hAnsi="微软雅黑" w:eastAsia="微软雅黑"/>
          <w:sz w:val="28"/>
          <w:szCs w:val="28"/>
        </w:rPr>
        <w:t>所有教师必须参与</w:t>
      </w:r>
      <w:r>
        <w:rPr>
          <w:rFonts w:hint="eastAsia" w:ascii="微软雅黑" w:hAnsi="微软雅黑" w:eastAsia="微软雅黑"/>
          <w:sz w:val="28"/>
          <w:szCs w:val="28"/>
          <w:lang w:val="en-US" w:eastAsia="zh-CN"/>
        </w:rPr>
        <w:t>所在</w:t>
      </w:r>
      <w:r>
        <w:rPr>
          <w:rFonts w:hint="eastAsia" w:ascii="微软雅黑" w:hAnsi="微软雅黑" w:eastAsia="微软雅黑"/>
          <w:sz w:val="28"/>
          <w:szCs w:val="28"/>
        </w:rPr>
        <w:t>部</w:t>
      </w:r>
      <w:r>
        <w:rPr>
          <w:rFonts w:hint="eastAsia" w:ascii="微软雅黑" w:hAnsi="微软雅黑" w:eastAsia="微软雅黑"/>
          <w:sz w:val="28"/>
          <w:szCs w:val="28"/>
          <w:lang w:val="en-US" w:eastAsia="zh-CN"/>
        </w:rPr>
        <w:t>门</w:t>
      </w:r>
      <w:r>
        <w:rPr>
          <w:rFonts w:hint="eastAsia" w:ascii="微软雅黑" w:hAnsi="微软雅黑" w:eastAsia="微软雅黑"/>
          <w:sz w:val="28"/>
          <w:szCs w:val="28"/>
        </w:rPr>
        <w:t>本科教学公共事务，例如：教学档案归档，专业实验管理，课程设计管理，系办公室日常整理，招生毕业宣传等，各系部制定轮岗制度，所有教师年终考核时上报本年度承担的公共事务情况。作为年度考核和职称晋升评价的重要依据。</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lang w:val="en-US" w:eastAsia="zh-CN"/>
        </w:rPr>
        <w:t>各系</w:t>
      </w:r>
      <w:r>
        <w:rPr>
          <w:rFonts w:hint="eastAsia" w:ascii="微软雅黑" w:hAnsi="微软雅黑" w:eastAsia="微软雅黑"/>
          <w:sz w:val="28"/>
          <w:szCs w:val="28"/>
        </w:rPr>
        <w:t>学所有教师必须参与对应本科专业建设，例如：“双万计划”申报、教学成果申报、专业认证、专业实验室建设等，作为年度考核和职称晋升评价的重要依据。</w:t>
      </w:r>
    </w:p>
    <w:p>
      <w:pPr>
        <w:pStyle w:val="8"/>
        <w:numPr>
          <w:ilvl w:val="0"/>
          <w:numId w:val="1"/>
        </w:numPr>
        <w:ind w:firstLineChars="0"/>
        <w:rPr>
          <w:rFonts w:ascii="微软雅黑" w:hAnsi="微软雅黑" w:eastAsia="微软雅黑"/>
          <w:sz w:val="28"/>
          <w:szCs w:val="28"/>
        </w:rPr>
      </w:pPr>
      <w:r>
        <w:rPr>
          <w:rFonts w:hint="eastAsia" w:ascii="微软雅黑" w:hAnsi="微软雅黑" w:eastAsia="微软雅黑"/>
          <w:sz w:val="28"/>
          <w:szCs w:val="28"/>
        </w:rPr>
        <w:t>隶属于物理学</w:t>
      </w:r>
      <w:r>
        <w:rPr>
          <w:rFonts w:hint="eastAsia" w:ascii="微软雅黑" w:hAnsi="微软雅黑" w:eastAsia="微软雅黑"/>
          <w:sz w:val="28"/>
          <w:szCs w:val="28"/>
          <w:lang w:val="en-US" w:eastAsia="zh-CN"/>
        </w:rPr>
        <w:t>科</w:t>
      </w:r>
      <w:r>
        <w:rPr>
          <w:rFonts w:hint="eastAsia" w:ascii="微软雅黑" w:hAnsi="微软雅黑" w:eastAsia="微软雅黑"/>
          <w:sz w:val="28"/>
          <w:szCs w:val="28"/>
        </w:rPr>
        <w:t>、光学工程</w:t>
      </w:r>
      <w:r>
        <w:rPr>
          <w:rFonts w:hint="eastAsia" w:ascii="微软雅黑" w:hAnsi="微软雅黑" w:eastAsia="微软雅黑"/>
          <w:sz w:val="28"/>
          <w:szCs w:val="28"/>
          <w:lang w:val="en-US" w:eastAsia="zh-CN"/>
        </w:rPr>
        <w:t>学科</w:t>
      </w:r>
      <w:r>
        <w:rPr>
          <w:rFonts w:hint="eastAsia" w:ascii="微软雅黑" w:hAnsi="微软雅黑" w:eastAsia="微软雅黑"/>
          <w:sz w:val="28"/>
          <w:szCs w:val="28"/>
        </w:rPr>
        <w:t>、仪器科学与技术</w:t>
      </w:r>
      <w:r>
        <w:rPr>
          <w:rFonts w:hint="eastAsia" w:ascii="微软雅黑" w:hAnsi="微软雅黑" w:eastAsia="微软雅黑"/>
          <w:sz w:val="28"/>
          <w:szCs w:val="28"/>
          <w:lang w:val="en-US" w:eastAsia="zh-CN"/>
        </w:rPr>
        <w:t>学科</w:t>
      </w:r>
      <w:bookmarkStart w:id="0" w:name="_GoBack"/>
      <w:bookmarkEnd w:id="0"/>
      <w:r>
        <w:rPr>
          <w:rFonts w:hint="eastAsia" w:ascii="微软雅黑" w:hAnsi="微软雅黑" w:eastAsia="微软雅黑"/>
          <w:sz w:val="28"/>
          <w:szCs w:val="28"/>
        </w:rPr>
        <w:t>的新型传感器与智能控制教育部重点实验室的人员同样按上述本科教学管理规定执行。</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 xml:space="preserve">                              物理与光电工程学院</w:t>
      </w:r>
    </w:p>
    <w:p>
      <w:pPr>
        <w:rPr>
          <w:rFonts w:ascii="微软雅黑" w:hAnsi="微软雅黑" w:eastAsia="微软雅黑"/>
          <w:sz w:val="28"/>
          <w:szCs w:val="28"/>
        </w:rPr>
      </w:pPr>
      <w:r>
        <w:rPr>
          <w:rFonts w:hint="eastAsia" w:ascii="微软雅黑" w:hAnsi="微软雅黑" w:eastAsia="微软雅黑"/>
          <w:sz w:val="28"/>
          <w:szCs w:val="28"/>
        </w:rPr>
        <w:t xml:space="preserve">                       新型传感器与智能控制教育部重点实验室</w:t>
      </w:r>
    </w:p>
    <w:p>
      <w:pPr>
        <w:numPr>
          <w:ilvl w:val="255"/>
          <w:numId w:val="0"/>
        </w:numPr>
        <w:ind w:left="630" w:leftChars="300"/>
        <w:rPr>
          <w:rFonts w:ascii="微软雅黑" w:hAnsi="微软雅黑" w:eastAsia="微软雅黑"/>
          <w:sz w:val="28"/>
          <w:szCs w:val="28"/>
        </w:rPr>
      </w:pPr>
      <w:r>
        <w:rPr>
          <w:rFonts w:hint="eastAsia" w:ascii="微软雅黑" w:hAnsi="微软雅黑" w:eastAsia="微软雅黑"/>
          <w:sz w:val="28"/>
          <w:szCs w:val="28"/>
        </w:rPr>
        <w:t xml:space="preserve">                             2020年5月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385F"/>
    <w:multiLevelType w:val="multilevel"/>
    <w:tmpl w:val="5CF038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tDAyNTQ3NjAyNzZR0lEKTi0uzszPAykwrAUA16MTZiwAAAA="/>
  </w:docVars>
  <w:rsids>
    <w:rsidRoot w:val="00C07316"/>
    <w:rsid w:val="000251CF"/>
    <w:rsid w:val="000E0DD8"/>
    <w:rsid w:val="000F25BA"/>
    <w:rsid w:val="00101C19"/>
    <w:rsid w:val="00151810"/>
    <w:rsid w:val="001B232C"/>
    <w:rsid w:val="001C6F0A"/>
    <w:rsid w:val="001D3D56"/>
    <w:rsid w:val="001F471E"/>
    <w:rsid w:val="0024041F"/>
    <w:rsid w:val="00381767"/>
    <w:rsid w:val="00394A57"/>
    <w:rsid w:val="003F19CE"/>
    <w:rsid w:val="0043387D"/>
    <w:rsid w:val="004517D1"/>
    <w:rsid w:val="004534C0"/>
    <w:rsid w:val="004622EC"/>
    <w:rsid w:val="00470194"/>
    <w:rsid w:val="00474463"/>
    <w:rsid w:val="004E6707"/>
    <w:rsid w:val="00585078"/>
    <w:rsid w:val="005B4BF8"/>
    <w:rsid w:val="005F7BA1"/>
    <w:rsid w:val="00600666"/>
    <w:rsid w:val="00607078"/>
    <w:rsid w:val="006952F5"/>
    <w:rsid w:val="006A6089"/>
    <w:rsid w:val="006A6BF2"/>
    <w:rsid w:val="006E4422"/>
    <w:rsid w:val="00782FE1"/>
    <w:rsid w:val="007A34BE"/>
    <w:rsid w:val="007A57EE"/>
    <w:rsid w:val="007D5328"/>
    <w:rsid w:val="0080621D"/>
    <w:rsid w:val="00893CE4"/>
    <w:rsid w:val="008A1183"/>
    <w:rsid w:val="008B51A0"/>
    <w:rsid w:val="009006E6"/>
    <w:rsid w:val="0091330C"/>
    <w:rsid w:val="00933D86"/>
    <w:rsid w:val="00940AB2"/>
    <w:rsid w:val="0097107E"/>
    <w:rsid w:val="00973CDD"/>
    <w:rsid w:val="009928A7"/>
    <w:rsid w:val="009A4099"/>
    <w:rsid w:val="009A4F86"/>
    <w:rsid w:val="009A6788"/>
    <w:rsid w:val="00A0611E"/>
    <w:rsid w:val="00A32842"/>
    <w:rsid w:val="00A44815"/>
    <w:rsid w:val="00AE6D5A"/>
    <w:rsid w:val="00B12B6C"/>
    <w:rsid w:val="00B43FCA"/>
    <w:rsid w:val="00B64D7F"/>
    <w:rsid w:val="00B746D0"/>
    <w:rsid w:val="00BA1F5F"/>
    <w:rsid w:val="00BA3BE3"/>
    <w:rsid w:val="00BB06EA"/>
    <w:rsid w:val="00BF7465"/>
    <w:rsid w:val="00C07316"/>
    <w:rsid w:val="00C27ED9"/>
    <w:rsid w:val="00C43C2F"/>
    <w:rsid w:val="00C50E30"/>
    <w:rsid w:val="00C93871"/>
    <w:rsid w:val="00CD5C99"/>
    <w:rsid w:val="00D050BB"/>
    <w:rsid w:val="00D20116"/>
    <w:rsid w:val="00D4133C"/>
    <w:rsid w:val="00DB3E08"/>
    <w:rsid w:val="00DD2769"/>
    <w:rsid w:val="00DE6B8E"/>
    <w:rsid w:val="00E06B30"/>
    <w:rsid w:val="00E11FBF"/>
    <w:rsid w:val="00E563E8"/>
    <w:rsid w:val="00E56D6B"/>
    <w:rsid w:val="00E678B2"/>
    <w:rsid w:val="00E721A8"/>
    <w:rsid w:val="00EE0F18"/>
    <w:rsid w:val="00EE5BA1"/>
    <w:rsid w:val="00EF7B3D"/>
    <w:rsid w:val="00F12300"/>
    <w:rsid w:val="00F722CC"/>
    <w:rsid w:val="00F85EA4"/>
    <w:rsid w:val="00FD5FC9"/>
    <w:rsid w:val="00FE63A2"/>
    <w:rsid w:val="0B5453E7"/>
    <w:rsid w:val="21F724D1"/>
    <w:rsid w:val="2E264317"/>
    <w:rsid w:val="2FA103E2"/>
    <w:rsid w:val="4593592B"/>
    <w:rsid w:val="489A137E"/>
    <w:rsid w:val="4AFF4184"/>
    <w:rsid w:val="4E0F1218"/>
    <w:rsid w:val="734531EC"/>
    <w:rsid w:val="7FF83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TYUT</Company>
  <Pages>2</Pages>
  <Words>120</Words>
  <Characters>690</Characters>
  <Lines>5</Lines>
  <Paragraphs>1</Paragraphs>
  <TotalTime>4</TotalTime>
  <ScaleCrop>false</ScaleCrop>
  <LinksUpToDate>false</LinksUpToDate>
  <CharactersWithSpaces>809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2020-05-22T08:07:00Z</dcterms:created>
  <dc:creator>ThinkPad</dc:creator>
  <cp:lastModifiedBy>郝玉英</cp:lastModifiedBy>
  <cp:lastPrinted>2020-04-30T13:34:00Z</cp:lastPrinted>
  <dcterms:modified xsi:type="dcterms:W3CDTF">2020-07-13T00:40:29Z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